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3F" w:rsidRPr="00A641C0" w:rsidRDefault="00BE5F3F" w:rsidP="00054D3C">
      <w:pPr>
        <w:pStyle w:val="NormalWeb"/>
        <w:jc w:val="center"/>
        <w:rPr>
          <w:rFonts w:ascii="Arial Narrow" w:hAnsi="Arial Narrow"/>
          <w:b/>
          <w:color w:val="000000"/>
        </w:rPr>
      </w:pPr>
      <w:r w:rsidRPr="00A641C0">
        <w:rPr>
          <w:rFonts w:ascii="Arial Narrow" w:hAnsi="Arial Narrow"/>
          <w:b/>
          <w:color w:val="000000"/>
        </w:rPr>
        <w:t>“XLI CURSO INTERNACIONAL DE MEDICINA INTERNA 2019”</w:t>
      </w:r>
    </w:p>
    <w:p w:rsidR="00BE5F3F" w:rsidRDefault="00BE5F3F" w:rsidP="00BE5F3F">
      <w:pPr>
        <w:pStyle w:val="NormalWeb"/>
        <w:jc w:val="center"/>
        <w:rPr>
          <w:rFonts w:ascii="Arial Narrow" w:hAnsi="Arial Narrow"/>
          <w:color w:val="000000"/>
        </w:rPr>
      </w:pPr>
      <w:r w:rsidRPr="00054D3C">
        <w:rPr>
          <w:rFonts w:ascii="Arial Narrow" w:hAnsi="Arial Narrow"/>
          <w:color w:val="000000"/>
        </w:rPr>
        <w:t>24 al 27 de octubre de 2019</w:t>
      </w:r>
    </w:p>
    <w:p w:rsidR="00A641C0" w:rsidRPr="00A641C0" w:rsidRDefault="00A641C0" w:rsidP="00A641C0">
      <w:pPr>
        <w:pStyle w:val="NormalWeb"/>
        <w:rPr>
          <w:rFonts w:ascii="Arial Narrow" w:hAnsi="Arial Narrow"/>
          <w:b/>
          <w:color w:val="000000"/>
        </w:rPr>
      </w:pPr>
      <w:r w:rsidRPr="00A641C0">
        <w:rPr>
          <w:rFonts w:ascii="Arial Narrow" w:hAnsi="Arial Narrow"/>
          <w:b/>
          <w:color w:val="000000"/>
        </w:rPr>
        <w:t>NOMBRE</w:t>
      </w:r>
      <w:proofErr w:type="gramStart"/>
      <w:r w:rsidRPr="00A641C0">
        <w:rPr>
          <w:rFonts w:ascii="Arial Narrow" w:hAnsi="Arial Narrow"/>
          <w:b/>
          <w:color w:val="000000"/>
        </w:rPr>
        <w:t>:</w:t>
      </w:r>
      <w:r>
        <w:rPr>
          <w:rFonts w:ascii="Arial Narrow" w:hAnsi="Arial Narrow"/>
          <w:b/>
          <w:color w:val="000000"/>
        </w:rPr>
        <w:softHyphen/>
      </w:r>
      <w:proofErr w:type="gramEnd"/>
      <w:r>
        <w:rPr>
          <w:rFonts w:ascii="Arial Narrow" w:hAnsi="Arial Narrow"/>
          <w:b/>
          <w:color w:val="000000"/>
        </w:rPr>
        <w:t>_____________________________________________________________________</w:t>
      </w:r>
    </w:p>
    <w:p w:rsidR="00B15F4E" w:rsidRPr="00A641C0" w:rsidRDefault="00BE5F3F" w:rsidP="00054D3C">
      <w:pPr>
        <w:pStyle w:val="NormalWeb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1.- 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Paciente varón de 48 años con diabetes mellitus se presenta a emergencia por presentar un dolor severo en el flanco izquierdo que se irradia a la ingle desde hace 3 horas. Su medicación habitual es </w:t>
      </w:r>
      <w:proofErr w:type="spellStart"/>
      <w:r w:rsidR="00B15F4E" w:rsidRPr="00A641C0">
        <w:rPr>
          <w:rFonts w:ascii="Arial Narrow" w:hAnsi="Arial Narrow"/>
          <w:color w:val="000000"/>
          <w:sz w:val="20"/>
          <w:szCs w:val="20"/>
        </w:rPr>
        <w:t>metformina</w:t>
      </w:r>
      <w:proofErr w:type="spellEnd"/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, </w:t>
      </w:r>
      <w:proofErr w:type="spellStart"/>
      <w:r w:rsidR="00B15F4E" w:rsidRPr="00A641C0">
        <w:rPr>
          <w:rFonts w:ascii="Arial Narrow" w:hAnsi="Arial Narrow"/>
          <w:color w:val="000000"/>
          <w:sz w:val="20"/>
          <w:szCs w:val="20"/>
        </w:rPr>
        <w:t>warfarina</w:t>
      </w:r>
      <w:proofErr w:type="spellEnd"/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 y </w:t>
      </w:r>
      <w:proofErr w:type="spellStart"/>
      <w:r w:rsidR="00B15F4E" w:rsidRPr="00A641C0">
        <w:rPr>
          <w:rFonts w:ascii="Arial Narrow" w:hAnsi="Arial Narrow"/>
          <w:color w:val="000000"/>
          <w:sz w:val="20"/>
          <w:szCs w:val="20"/>
        </w:rPr>
        <w:t>atorvastatina.Afebril</w:t>
      </w:r>
      <w:proofErr w:type="spellEnd"/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, </w:t>
      </w:r>
      <w:proofErr w:type="spellStart"/>
      <w:r w:rsidR="00B15F4E" w:rsidRPr="00A641C0">
        <w:rPr>
          <w:rFonts w:ascii="Arial Narrow" w:hAnsi="Arial Narrow"/>
          <w:color w:val="000000"/>
          <w:sz w:val="20"/>
          <w:szCs w:val="20"/>
        </w:rPr>
        <w:t>Fc</w:t>
      </w:r>
      <w:proofErr w:type="spellEnd"/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 105, PA 145/95, SpO2 98%, al examen presenta dolor marcado en flanco izquierdo. EKG muestra cambios no específicos del ST, TP INR 2, función renal normal y examen de orina muestra </w:t>
      </w:r>
      <w:r w:rsidR="00054D3C" w:rsidRPr="00A641C0">
        <w:rPr>
          <w:rFonts w:ascii="Arial Narrow" w:hAnsi="Arial Narrow"/>
          <w:color w:val="000000"/>
          <w:sz w:val="20"/>
          <w:szCs w:val="20"/>
        </w:rPr>
        <w:t>hematuria,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 leucocitos 5-8 </w:t>
      </w:r>
      <w:proofErr w:type="spellStart"/>
      <w:r w:rsidR="00B15F4E" w:rsidRPr="00A641C0">
        <w:rPr>
          <w:rFonts w:ascii="Arial Narrow" w:hAnsi="Arial Narrow"/>
          <w:color w:val="000000"/>
          <w:sz w:val="20"/>
          <w:szCs w:val="20"/>
        </w:rPr>
        <w:t>cpo</w:t>
      </w:r>
      <w:proofErr w:type="spellEnd"/>
      <w:r w:rsidR="00B15F4E" w:rsidRPr="00A641C0">
        <w:rPr>
          <w:rFonts w:ascii="Arial Narrow" w:hAnsi="Arial Narrow"/>
          <w:color w:val="000000"/>
          <w:sz w:val="20"/>
          <w:szCs w:val="20"/>
        </w:rPr>
        <w:t>, no bacterias ni cristales</w:t>
      </w:r>
      <w:r w:rsidR="00054D3C" w:rsidRPr="00A641C0">
        <w:rPr>
          <w:rFonts w:ascii="Arial Narrow" w:hAnsi="Arial Narrow"/>
          <w:color w:val="000000"/>
          <w:sz w:val="20"/>
          <w:szCs w:val="20"/>
        </w:rPr>
        <w:t xml:space="preserve">. 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>¿</w:t>
      </w:r>
      <w:r w:rsidRPr="00A641C0">
        <w:rPr>
          <w:rFonts w:ascii="Arial Narrow" w:hAnsi="Arial Narrow"/>
          <w:color w:val="000000"/>
          <w:sz w:val="20"/>
          <w:szCs w:val="20"/>
        </w:rPr>
        <w:t>Cuál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 de los siguientes sería el estudio diagnostico que le indicaría?</w:t>
      </w:r>
    </w:p>
    <w:p w:rsidR="00054D3C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A. Recolección de orina de 24 horas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B. Cistoscopia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C. Resonancia magnética de abdomen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D. TEM abdomen sin contraste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E. Ecografía</w:t>
      </w:r>
    </w:p>
    <w:p w:rsidR="00054D3C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2. Paciente varón de 42 años, con historia previa de litiasis renal tiene un dolor intermitente en flanco izquierdo de varias semanas de evolución. El examen de orina reveló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microhematuria</w:t>
      </w:r>
      <w:proofErr w:type="spellEnd"/>
      <w:r w:rsidRPr="00A641C0">
        <w:rPr>
          <w:rFonts w:ascii="Arial Narrow" w:hAnsi="Arial Narrow"/>
          <w:color w:val="000000"/>
          <w:sz w:val="20"/>
          <w:szCs w:val="20"/>
        </w:rPr>
        <w:t xml:space="preserve"> y la TEM de abdomen sin contraste evidenció una litiasis de 12 mm en la pelvis renal izquierda con leve hidronefrosis, pero con calibre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ureteral</w:t>
      </w:r>
      <w:proofErr w:type="spellEnd"/>
      <w:r w:rsidRPr="00A641C0">
        <w:rPr>
          <w:rFonts w:ascii="Arial Narrow" w:hAnsi="Arial Narrow"/>
          <w:color w:val="000000"/>
          <w:sz w:val="20"/>
          <w:szCs w:val="20"/>
        </w:rPr>
        <w:t xml:space="preserve"> normal. El coeficiente de atenuación de la piedra fue 790 unidades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Hounsfield</w:t>
      </w:r>
      <w:proofErr w:type="spellEnd"/>
      <w:r w:rsidRPr="00A641C0">
        <w:rPr>
          <w:rFonts w:ascii="Arial Narrow" w:hAnsi="Arial Narrow"/>
          <w:color w:val="000000"/>
          <w:sz w:val="20"/>
          <w:szCs w:val="20"/>
        </w:rPr>
        <w:t>. La distancia de piel a litiasis fue de 8.5cm</w:t>
      </w:r>
    </w:p>
    <w:p w:rsidR="00B15F4E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¿Cuál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 sería su decisión de </w:t>
      </w:r>
      <w:r w:rsidRPr="00A641C0">
        <w:rPr>
          <w:rFonts w:ascii="Arial Narrow" w:hAnsi="Arial Narrow"/>
          <w:color w:val="000000"/>
          <w:sz w:val="20"/>
          <w:szCs w:val="20"/>
        </w:rPr>
        <w:t>manejo?</w:t>
      </w:r>
    </w:p>
    <w:p w:rsidR="00054D3C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a. -Manejo conservador con analgesia a demanda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b. -Utilización de un alfa bloqueador tipo tamsulosina para facilitar el pasaje de la piedra.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c. -Referencia a Urología para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litotripsia</w:t>
      </w:r>
      <w:proofErr w:type="spellEnd"/>
      <w:r w:rsidRPr="00A641C0">
        <w:rPr>
          <w:rFonts w:ascii="Arial Narrow" w:hAnsi="Arial Narrow"/>
          <w:color w:val="000000"/>
          <w:sz w:val="20"/>
          <w:szCs w:val="20"/>
        </w:rPr>
        <w:t xml:space="preserve"> extracorpórea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d. -Referencia a Urología para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cistoscopía</w:t>
      </w:r>
      <w:proofErr w:type="spellEnd"/>
      <w:r w:rsidRPr="00A641C0">
        <w:rPr>
          <w:rFonts w:ascii="Arial Narrow" w:hAnsi="Arial Narrow"/>
          <w:color w:val="000000"/>
          <w:sz w:val="20"/>
          <w:szCs w:val="20"/>
        </w:rPr>
        <w:t xml:space="preserve"> y extracción de litiasis.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e. -Referencia a Urología para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litotripsiaintracorpórea</w:t>
      </w:r>
      <w:proofErr w:type="spellEnd"/>
    </w:p>
    <w:p w:rsidR="00054D3C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3.- 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>En relación a la injuria renal aguda (IRA), marque el enunciado incorrecto.</w:t>
      </w:r>
    </w:p>
    <w:p w:rsidR="00054D3C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B15F4E" w:rsidP="00054D3C">
      <w:pPr>
        <w:pStyle w:val="NormalWeb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a) La IRA se caracteriza por una rápida disminución de la función renal</w:t>
      </w:r>
    </w:p>
    <w:p w:rsidR="00B15F4E" w:rsidRPr="00A641C0" w:rsidRDefault="00B15F4E" w:rsidP="00054D3C">
      <w:pPr>
        <w:pStyle w:val="NormalWeb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b) Se clasifica en estadios de acuerdo al incremento de la creatinina basal</w:t>
      </w:r>
    </w:p>
    <w:p w:rsidR="00B15F4E" w:rsidRPr="00A641C0" w:rsidRDefault="00B15F4E" w:rsidP="00054D3C">
      <w:pPr>
        <w:pStyle w:val="NormalWeb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c) El estadio 1 (riesgo) se define por un incremento del 150% del valor basal de la creatinina en siete días o más de 0.3 mg/dl en 48 horas.</w:t>
      </w:r>
    </w:p>
    <w:p w:rsidR="00B15F4E" w:rsidRPr="00A641C0" w:rsidRDefault="00B15F4E" w:rsidP="00054D3C">
      <w:pPr>
        <w:pStyle w:val="NormalWeb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d) Si un paciente tiene más de 3 mg/dl de creatinina está en estadio 3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e) La anuria por 12 horas define el estadio 3</w:t>
      </w:r>
    </w:p>
    <w:p w:rsidR="00054D3C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054D3C" w:rsidP="00054D3C">
      <w:pPr>
        <w:pStyle w:val="NormalWeb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4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. Una paciente de 56 años de edad, ingresa al hospital por presentar un cuadro de diarrea aguda con deshidratación severa, el volumen urinario fue de 600 cc/día, en el laboratorio: hemoglobina 14 gr/dl, la creatinina de ingreso fue 1 mg/dl y se incrementó hasta 1.5 mg/dl en 24 horas, el sodio urinario 8 </w:t>
      </w:r>
      <w:proofErr w:type="spellStart"/>
      <w:r w:rsidR="00B15F4E" w:rsidRPr="00A641C0">
        <w:rPr>
          <w:rFonts w:ascii="Arial Narrow" w:hAnsi="Arial Narrow"/>
          <w:color w:val="000000"/>
          <w:sz w:val="20"/>
          <w:szCs w:val="20"/>
        </w:rPr>
        <w:t>mEq</w:t>
      </w:r>
      <w:proofErr w:type="spellEnd"/>
      <w:r w:rsidR="00B15F4E" w:rsidRPr="00A641C0">
        <w:rPr>
          <w:rFonts w:ascii="Arial Narrow" w:hAnsi="Arial Narrow"/>
          <w:color w:val="000000"/>
          <w:sz w:val="20"/>
          <w:szCs w:val="20"/>
        </w:rPr>
        <w:t>/L, la excreción fraccional de sodio al ingreso fue 0.9, ecografía: riñones de 10cc, corteza normal.¿Cuál de los siguientes enunciados es incorrecto?</w:t>
      </w:r>
    </w:p>
    <w:p w:rsidR="00054D3C" w:rsidRPr="00A641C0" w:rsidRDefault="00054D3C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a) La paciente es portadora de una falla renal crónica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b) La paciente tiene criterios para diagnóstico de injuria renal aguda.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c) Los resultados del sodio urinario y excreción fraccional de sodio indican</w:t>
      </w:r>
    </w:p>
    <w:p w:rsidR="00581B02" w:rsidRPr="00A641C0" w:rsidRDefault="00581B02" w:rsidP="00581B02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d) La hipoperfusión es la causa del daño renal</w:t>
      </w:r>
    </w:p>
    <w:p w:rsidR="00581B02" w:rsidRPr="00A641C0" w:rsidRDefault="00581B02" w:rsidP="00581B02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e) El tratamiento es hidratación con cristaloides, no se recomienda el uso de coloide</w:t>
      </w:r>
    </w:p>
    <w:p w:rsidR="00581B02" w:rsidRPr="00A641C0" w:rsidRDefault="00581B02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581B02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5.- 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>La Fibromialgia se diagnóstica con: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a- Anticuerpos positivos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b- Estudios de imágenes.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c- Historia y examen clínico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d- a y b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e- Ninguna de las anteriores</w:t>
      </w:r>
    </w:p>
    <w:p w:rsidR="00581B02" w:rsidRPr="00A641C0" w:rsidRDefault="00581B02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581B02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6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>.</w:t>
      </w:r>
      <w:r w:rsidRPr="00A641C0">
        <w:rPr>
          <w:rFonts w:ascii="Arial Narrow" w:hAnsi="Arial Narrow"/>
          <w:color w:val="000000"/>
          <w:sz w:val="20"/>
          <w:szCs w:val="20"/>
        </w:rPr>
        <w:t>-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 En el tratamiento de Fibromialgia, es falso: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lastRenderedPageBreak/>
        <w:t>a- No hay tratamiento farmacológico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b- Tratamiento no </w:t>
      </w:r>
      <w:r w:rsidR="00581B02" w:rsidRPr="00A641C0">
        <w:rPr>
          <w:rFonts w:ascii="Arial Narrow" w:hAnsi="Arial Narrow"/>
          <w:color w:val="000000"/>
          <w:sz w:val="20"/>
          <w:szCs w:val="20"/>
        </w:rPr>
        <w:t>farmacológico</w:t>
      </w:r>
      <w:r w:rsidRPr="00A641C0">
        <w:rPr>
          <w:rFonts w:ascii="Arial Narrow" w:hAnsi="Arial Narrow"/>
          <w:color w:val="000000"/>
          <w:sz w:val="20"/>
          <w:szCs w:val="20"/>
        </w:rPr>
        <w:t xml:space="preserve"> es inefectivo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c- Solo el tratamiento por psiquiatría es efectivo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d- Todo lo anterior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581B02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7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.- En referencia al concepto de </w:t>
      </w:r>
      <w:proofErr w:type="spellStart"/>
      <w:r w:rsidR="00B15F4E" w:rsidRPr="00A641C0">
        <w:rPr>
          <w:rFonts w:ascii="Arial Narrow" w:hAnsi="Arial Narrow"/>
          <w:color w:val="000000"/>
          <w:sz w:val="20"/>
          <w:szCs w:val="20"/>
        </w:rPr>
        <w:t>microbioma</w:t>
      </w:r>
      <w:proofErr w:type="spellEnd"/>
      <w:r w:rsidR="00B15F4E" w:rsidRPr="00A641C0">
        <w:rPr>
          <w:rFonts w:ascii="Arial Narrow" w:hAnsi="Arial Narrow"/>
          <w:color w:val="000000"/>
          <w:sz w:val="20"/>
          <w:szCs w:val="20"/>
        </w:rPr>
        <w:t>, señale lo correcto: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a) Es el conjunto microbiano en un determinado hábitat.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b) El número de sus genes es equivalente a 100 veces más que las células humanas.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c) Corresponde al genoma colectivo de un organismo hospedador.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d) Es equivalente a un simbionte.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e) Ninguna de las anteriores.</w:t>
      </w:r>
    </w:p>
    <w:p w:rsidR="00581B02" w:rsidRPr="00A641C0" w:rsidRDefault="00581B02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B15F4E" w:rsidRPr="00A641C0" w:rsidRDefault="00581B02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8</w:t>
      </w:r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.- ¿Cuál de las siguientes patologías se benefician definidamente con </w:t>
      </w:r>
      <w:proofErr w:type="gramStart"/>
      <w:r w:rsidR="00B15F4E" w:rsidRPr="00A641C0">
        <w:rPr>
          <w:rFonts w:ascii="Arial Narrow" w:hAnsi="Arial Narrow"/>
          <w:color w:val="000000"/>
          <w:sz w:val="20"/>
          <w:szCs w:val="20"/>
        </w:rPr>
        <w:t>la</w:t>
      </w:r>
      <w:proofErr w:type="gramEnd"/>
      <w:r w:rsidR="00B15F4E" w:rsidRPr="00A641C0">
        <w:rPr>
          <w:rFonts w:ascii="Arial Narrow" w:hAnsi="Arial Narrow"/>
          <w:color w:val="000000"/>
          <w:sz w:val="20"/>
          <w:szCs w:val="20"/>
        </w:rPr>
        <w:t xml:space="preserve"> trasplante microbiano?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a) Infección por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Clostridiumdifficile</w:t>
      </w:r>
      <w:proofErr w:type="spellEnd"/>
      <w:r w:rsidRPr="00A641C0">
        <w:rPr>
          <w:rFonts w:ascii="Arial Narrow" w:hAnsi="Arial Narrow"/>
          <w:color w:val="000000"/>
          <w:sz w:val="20"/>
          <w:szCs w:val="20"/>
        </w:rPr>
        <w:t>.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b) Psoriasis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c) Obesidad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d) Alzheimer</w:t>
      </w: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e) </w:t>
      </w:r>
      <w:proofErr w:type="spellStart"/>
      <w:r w:rsidRPr="00A641C0">
        <w:rPr>
          <w:rFonts w:ascii="Arial Narrow" w:hAnsi="Arial Narrow"/>
          <w:color w:val="000000"/>
          <w:sz w:val="20"/>
          <w:szCs w:val="20"/>
        </w:rPr>
        <w:t>Hipertension</w:t>
      </w:r>
      <w:proofErr w:type="spellEnd"/>
      <w:r w:rsidRPr="00A641C0">
        <w:rPr>
          <w:rFonts w:ascii="Arial Narrow" w:hAnsi="Arial Narrow"/>
          <w:color w:val="000000"/>
          <w:sz w:val="20"/>
          <w:szCs w:val="20"/>
        </w:rPr>
        <w:t xml:space="preserve"> arterial</w:t>
      </w:r>
    </w:p>
    <w:p w:rsidR="00B15F4E" w:rsidRPr="00A641C0" w:rsidRDefault="00581B02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9.- </w:t>
      </w:r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En relación al diagnóstico de enfermedad glomerular, cuál de los siguientes hallazgos sugiere de manera confiable hematuria de origen glomerular.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a.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Acantocitos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mayores de 5%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b. Hematíes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dismórficos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más de 10%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c. Cilindros céreos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d. Proteinuria en ausencia de albuminuria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e. Hematuria con coágulos</w:t>
      </w:r>
    </w:p>
    <w:p w:rsidR="00581B02" w:rsidRPr="00A641C0" w:rsidRDefault="00581B02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581B02" w:rsidP="00581B02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10</w:t>
      </w:r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. Un paciente de 48 años debuta con edemas marcados, orinas espumosas e hipertensión </w:t>
      </w:r>
      <w:proofErr w:type="gramStart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arterial ,</w:t>
      </w:r>
      <w:proofErr w:type="gramEnd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tiene un sedimento urinario blando ,una relación Proteinuria/Creatinina en orina mayor de 3 gr/gr y una creatinina sérica de 0.7 mg/dl . </w:t>
      </w:r>
      <w:proofErr w:type="gramStart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¿ Qué</w:t>
      </w:r>
      <w:proofErr w:type="gramEnd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forma de presentación de enfermedad glomerular muestra el paciente?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a. Síndrome Nefrítico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b. Síndrome Nefrótico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c. Proteinuria Aislada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d.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Glomerulonefritis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Rápidamente Progresiva</w:t>
      </w:r>
    </w:p>
    <w:p w:rsidR="00B15F4E" w:rsidRPr="00A641C0" w:rsidRDefault="00B15F4E" w:rsidP="00581B02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e. Enfermedad renal crónica</w:t>
      </w:r>
    </w:p>
    <w:p w:rsidR="00581B02" w:rsidRPr="00A641C0" w:rsidRDefault="00581B02" w:rsidP="00581B02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11. para el diagnostico de mieloma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multiple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se requiere, excepto:</w:t>
      </w:r>
    </w:p>
    <w:p w:rsidR="00581B02" w:rsidRPr="00A641C0" w:rsidRDefault="00581B02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a. calcio elevado</w:t>
      </w: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b. lesiones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liticasoseas</w:t>
      </w:r>
      <w:proofErr w:type="spellEnd"/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c.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funcion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renal alterada</w:t>
      </w: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d. beta 2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microglobulina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elevada</w:t>
      </w: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e. pico monoclonal</w:t>
      </w:r>
    </w:p>
    <w:p w:rsidR="00581B02" w:rsidRPr="00A641C0" w:rsidRDefault="00581B02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12. son causas de pico monoclonal, excepto:</w:t>
      </w:r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a. mieloma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multiple</w:t>
      </w:r>
      <w:proofErr w:type="spellEnd"/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b. leucemia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linfatica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aguda</w:t>
      </w: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c.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amiloidosis</w:t>
      </w:r>
      <w:proofErr w:type="spellEnd"/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d.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mgus</w:t>
      </w:r>
      <w:proofErr w:type="spellEnd"/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e. leucemia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linfaticacronica</w:t>
      </w:r>
      <w:proofErr w:type="spellEnd"/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13.- </w:t>
      </w:r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Cual de las siguientes es característica de la Enfermedad de Crohn y que la distingue de Colitis Ulcerativa</w:t>
      </w:r>
      <w:proofErr w:type="gramStart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?</w:t>
      </w:r>
      <w:proofErr w:type="gramEnd"/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a) Compromete siempre el recto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b) Su diagnostico diferencial incluye la amebiasis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colonica</w:t>
      </w:r>
      <w:proofErr w:type="spellEnd"/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c) Es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fistulizante</w:t>
      </w:r>
      <w:proofErr w:type="spellEnd"/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d) Su compromiso es mayormente de mucosa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e) Su manifestación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mas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frecuente es diarrea con moco y sangre</w:t>
      </w:r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14</w:t>
      </w:r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. </w:t>
      </w:r>
      <w:proofErr w:type="spellStart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Cual</w:t>
      </w:r>
      <w:proofErr w:type="spellEnd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de los siguientes exámenes usaría para evaluar la remisión en Enfermedad Inflamatoria Intestinal</w:t>
      </w:r>
      <w:proofErr w:type="gramStart"/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?</w:t>
      </w:r>
      <w:proofErr w:type="gramEnd"/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a) P-ANCA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b) Sangre oculta en heces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c)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Proteina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C Reactiva (PCR)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d)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Calprotectina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fecal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e)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Procalcitonina</w:t>
      </w:r>
      <w:proofErr w:type="spellEnd"/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1</w:t>
      </w:r>
      <w:r w:rsidR="007B1BDB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5</w:t>
      </w: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. A su consulta acude un paciente de 60 años, diabético desde hace 25 años, y dos semanas tuvo un episodio de disartria transitoria y súbita y la evaluación neurológica posterior fue normal. ¿Cuál sería la meta de LDL colesterol?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</w:t>
      </w:r>
      <w:proofErr w:type="gram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. &lt; 130 mg/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dL</w:t>
      </w:r>
      <w:proofErr w:type="spellEnd"/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</w:t>
      </w:r>
      <w:proofErr w:type="gram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. &lt; 100 mg/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dL</w:t>
      </w:r>
      <w:proofErr w:type="spellEnd"/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c. &lt;70 mg/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dL</w:t>
      </w:r>
      <w:proofErr w:type="spellEnd"/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d. &lt;55 mg/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dL</w:t>
      </w:r>
      <w:proofErr w:type="spellEnd"/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16</w:t>
      </w:r>
      <w:r w:rsidR="00B15F4E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. En nuestro medio, ¿Cuál sería la mejor estrategia inicial para la estratificación del riesgo cardiovascular?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a. Aplicación del puntaje </w:t>
      </w: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europeo :</w:t>
      </w:r>
      <w:proofErr w:type="gram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SCORE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b. Aplicación del puntaje </w:t>
      </w: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americano :</w:t>
      </w:r>
      <w:proofErr w:type="gram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ASCVD</w:t>
      </w:r>
    </w:p>
    <w:p w:rsidR="00B15F4E" w:rsidRPr="00A641C0" w:rsidRDefault="00B15F4E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c. Score de Calcio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d. Determinación de los factores de riesgo tradicionales y otros modificadores</w:t>
      </w:r>
    </w:p>
    <w:p w:rsidR="00BE5F3F" w:rsidRPr="00A641C0" w:rsidRDefault="007B1BDB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 xml:space="preserve">17.- </w:t>
      </w:r>
      <w:r w:rsidR="00BE5F3F" w:rsidRPr="00A641C0">
        <w:rPr>
          <w:rFonts w:ascii="Arial Narrow" w:hAnsi="Arial Narrow"/>
          <w:color w:val="000000"/>
          <w:sz w:val="20"/>
          <w:szCs w:val="20"/>
        </w:rPr>
        <w:t>La reacción adversa a medicamentos que compromete mucosas es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a. Stevens-Johnson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b. NET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c. DRESS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d. (a</w:t>
      </w: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)(</w:t>
      </w:r>
      <w:proofErr w:type="gram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b)</w:t>
      </w:r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E5F3F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18</w:t>
      </w:r>
      <w:r w:rsidR="00BE5F3F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. Los anticonvulsivantes están involucrados en las siguientes situaciones: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a. Stevens-Johnson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b. NET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c. DRESS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d. (a</w:t>
      </w: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)(</w:t>
      </w:r>
      <w:proofErr w:type="gram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b)(c)</w:t>
      </w:r>
    </w:p>
    <w:p w:rsidR="00BE5F3F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19</w:t>
      </w:r>
      <w:r w:rsidR="00BE5F3F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. La erupción </w:t>
      </w:r>
      <w:proofErr w:type="spellStart"/>
      <w:r w:rsidR="00BE5F3F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pustular</w:t>
      </w:r>
      <w:proofErr w:type="spellEnd"/>
      <w:r w:rsidR="00BE5F3F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aguda generalizada EPAG se caracteriza por:</w:t>
      </w:r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a. Compromete rápidamente la vida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b. Pústula aséptica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c. Pústula séptica</w:t>
      </w:r>
    </w:p>
    <w:p w:rsidR="00BE5F3F" w:rsidRPr="00A641C0" w:rsidRDefault="00BE5F3F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d. (a</w:t>
      </w: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)(c</w:t>
      </w:r>
      <w:proofErr w:type="gramEnd"/>
    </w:p>
    <w:p w:rsidR="00BE5F3F" w:rsidRPr="00A641C0" w:rsidRDefault="007B1BDB" w:rsidP="007B1BDB">
      <w:pPr>
        <w:pStyle w:val="NormalWeb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A641C0">
        <w:rPr>
          <w:rFonts w:ascii="Arial Narrow" w:hAnsi="Arial Narrow"/>
          <w:color w:val="000000"/>
          <w:sz w:val="20"/>
          <w:szCs w:val="20"/>
        </w:rPr>
        <w:t>20</w:t>
      </w:r>
      <w:r w:rsidR="00BE5F3F" w:rsidRPr="00A641C0">
        <w:rPr>
          <w:rFonts w:ascii="Arial Narrow" w:hAnsi="Arial Narrow"/>
          <w:color w:val="000000"/>
          <w:sz w:val="20"/>
          <w:szCs w:val="20"/>
        </w:rPr>
        <w:t>.</w:t>
      </w:r>
      <w:r w:rsidRPr="00A641C0">
        <w:rPr>
          <w:rFonts w:ascii="Arial Narrow" w:hAnsi="Arial Narrow"/>
          <w:color w:val="000000"/>
          <w:sz w:val="20"/>
          <w:szCs w:val="20"/>
        </w:rPr>
        <w:t>-</w:t>
      </w:r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Un paciente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varon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de 65 años con antecedente de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transfusionsanguinea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por accidente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automovilistico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con traumatismo abdominal cerrado hace aproximadamente 40 años acude a su consulta para un chequeo de rutina, sin presentar sintomatología alguna. Su examen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fisico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es completamente normal. Tiene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hipertension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arterial controlada con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Telmisartan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40 mg diarios desde hace 10 años, no fuma ni bebe alcohol. Su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indice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de masa corporal es 28 kg/m2 y su examen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fisico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es completamente normal aparte de una cicatriz de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lapatoromia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mediana antigua. Sus </w:t>
      </w:r>
      <w:proofErr w:type="spellStart"/>
      <w:proofErr w:type="gramStart"/>
      <w:r w:rsidR="00BE5F3F" w:rsidRPr="00A641C0">
        <w:rPr>
          <w:rFonts w:ascii="Arial Narrow" w:hAnsi="Arial Narrow"/>
          <w:color w:val="000000"/>
          <w:sz w:val="20"/>
          <w:szCs w:val="20"/>
        </w:rPr>
        <w:t>analisismuestran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:</w:t>
      </w:r>
      <w:proofErr w:type="gram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Hemoglobina 14.2 g/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dL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>, Plaquetas 102,000/mm3, AST 85 U/L, ALT 34 U/L, Albumina 4.2 g/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dL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, INR 1.1,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Creatinina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 0.6 mg/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dL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 xml:space="preserve">, Sodio 141 </w:t>
      </w:r>
      <w:proofErr w:type="spellStart"/>
      <w:r w:rsidR="00BE5F3F" w:rsidRPr="00A641C0">
        <w:rPr>
          <w:rFonts w:ascii="Arial Narrow" w:hAnsi="Arial Narrow"/>
          <w:color w:val="000000"/>
          <w:sz w:val="20"/>
          <w:szCs w:val="20"/>
        </w:rPr>
        <w:t>mEq</w:t>
      </w:r>
      <w:proofErr w:type="spellEnd"/>
      <w:r w:rsidR="00BE5F3F" w:rsidRPr="00A641C0">
        <w:rPr>
          <w:rFonts w:ascii="Arial Narrow" w:hAnsi="Arial Narrow"/>
          <w:color w:val="000000"/>
          <w:sz w:val="20"/>
          <w:szCs w:val="20"/>
        </w:rPr>
        <w:t>/L. Anticuerpo anti hepatitis C positivo, carga viral 2'242,000 unidades/ml.</w:t>
      </w:r>
    </w:p>
    <w:p w:rsidR="00BE5F3F" w:rsidRPr="00A641C0" w:rsidRDefault="00BE5F3F" w:rsidP="007B1BDB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En base a los datos presentados, señale la alternativa correcta con respecto a este </w:t>
      </w:r>
      <w:proofErr w:type="gram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caso :</w:t>
      </w:r>
      <w:proofErr w:type="gramEnd"/>
    </w:p>
    <w:p w:rsidR="00BE5F3F" w:rsidRPr="00A641C0" w:rsidRDefault="00BE5F3F" w:rsidP="007B1BDB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a) La conducta debe ser expectante debido a que las transaminasas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estanminimamente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elevadas, y la albumina y el INR son normales, debiendo ser evaluado cada 6 meses</w:t>
      </w:r>
    </w:p>
    <w:p w:rsidR="00BE5F3F" w:rsidRPr="00A641C0" w:rsidRDefault="00BE5F3F" w:rsidP="007B1BDB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b) Una biopsia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hepatica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se debe programar por la alta sospecha de cirrosis</w:t>
      </w:r>
    </w:p>
    <w:p w:rsidR="00BE5F3F" w:rsidRPr="00A641C0" w:rsidRDefault="00BE5F3F" w:rsidP="007B1BDB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c) Solo debe darse tratamiento si la biopsia muestra fibrosis avanzada o cirrosis</w:t>
      </w:r>
    </w:p>
    <w:p w:rsidR="00BE5F3F" w:rsidRPr="00A641C0" w:rsidRDefault="00BE5F3F" w:rsidP="007B1BDB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</w:t>
      </w:r>
      <w:r w:rsidR="00FF7878"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) </w:t>
      </w: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Se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deberia</w:t>
      </w:r>
      <w:proofErr w:type="spellEnd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 xml:space="preserve"> programar un </w:t>
      </w:r>
      <w:proofErr w:type="spellStart"/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Fibroscan</w:t>
      </w:r>
      <w:proofErr w:type="spellEnd"/>
    </w:p>
    <w:p w:rsidR="00BE5F3F" w:rsidRPr="00A641C0" w:rsidRDefault="00BE5F3F" w:rsidP="007B1BDB">
      <w:pPr>
        <w:spacing w:before="100" w:beforeAutospacing="1" w:after="100" w:afterAutospacing="1"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  <w:r w:rsidRPr="00A641C0"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  <w:t>e) Es importante determinar el genotipo para saber que tratamiento se de debe ofrecer</w:t>
      </w:r>
      <w:bookmarkStart w:id="0" w:name="_GoBack"/>
      <w:bookmarkEnd w:id="0"/>
    </w:p>
    <w:p w:rsidR="007B1BDB" w:rsidRPr="00A641C0" w:rsidRDefault="007B1BDB" w:rsidP="00054D3C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00000"/>
          <w:sz w:val="20"/>
          <w:szCs w:val="20"/>
          <w:lang w:eastAsia="es-PE"/>
        </w:rPr>
      </w:pPr>
    </w:p>
    <w:p w:rsidR="00B15F4E" w:rsidRPr="00A641C0" w:rsidRDefault="00B15F4E" w:rsidP="00054D3C">
      <w:pPr>
        <w:pStyle w:val="NormalWeb"/>
        <w:contextualSpacing/>
        <w:rPr>
          <w:rFonts w:ascii="Arial Narrow" w:hAnsi="Arial Narrow"/>
          <w:color w:val="000000"/>
          <w:sz w:val="20"/>
          <w:szCs w:val="20"/>
        </w:rPr>
      </w:pPr>
    </w:p>
    <w:p w:rsidR="00F01029" w:rsidRPr="00A641C0" w:rsidRDefault="00F01029" w:rsidP="00054D3C">
      <w:pPr>
        <w:spacing w:line="240" w:lineRule="auto"/>
        <w:contextualSpacing/>
        <w:rPr>
          <w:sz w:val="20"/>
          <w:szCs w:val="20"/>
        </w:rPr>
      </w:pPr>
    </w:p>
    <w:p w:rsidR="00A641C0" w:rsidRPr="00A641C0" w:rsidRDefault="00A641C0">
      <w:pPr>
        <w:spacing w:line="240" w:lineRule="auto"/>
        <w:contextualSpacing/>
        <w:rPr>
          <w:sz w:val="20"/>
          <w:szCs w:val="20"/>
        </w:rPr>
      </w:pPr>
    </w:p>
    <w:sectPr w:rsidR="00A641C0" w:rsidRPr="00A641C0" w:rsidSect="00975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15F4E"/>
    <w:rsid w:val="00054D3C"/>
    <w:rsid w:val="00581B02"/>
    <w:rsid w:val="007B1BDB"/>
    <w:rsid w:val="009755CF"/>
    <w:rsid w:val="00A641C0"/>
    <w:rsid w:val="00B15F4E"/>
    <w:rsid w:val="00BE5F3F"/>
    <w:rsid w:val="00D212B1"/>
    <w:rsid w:val="00F01029"/>
    <w:rsid w:val="00FF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FD5C-45DB-435F-9CC3-69685771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EMERGENCIA</dc:creator>
  <cp:lastModifiedBy>Maruska</cp:lastModifiedBy>
  <cp:revision>2</cp:revision>
  <dcterms:created xsi:type="dcterms:W3CDTF">2019-10-27T18:06:00Z</dcterms:created>
  <dcterms:modified xsi:type="dcterms:W3CDTF">2019-10-27T18:06:00Z</dcterms:modified>
</cp:coreProperties>
</file>